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65" w:rsidRPr="00F444C4" w:rsidRDefault="00F444C4" w:rsidP="00F444C4">
      <w:pPr>
        <w:shd w:val="clear" w:color="auto" w:fill="FDF2D8" w:themeFill="accent5" w:themeFillTint="33"/>
        <w:rPr>
          <w:rFonts w:ascii="Calibri" w:hAnsi="Calibri"/>
          <w:b/>
          <w:color w:val="073E87" w:themeColor="text2"/>
          <w:sz w:val="36"/>
        </w:rPr>
      </w:pPr>
      <w:r>
        <w:rPr>
          <w:rFonts w:ascii="Calibri" w:hAnsi="Calibri"/>
          <w:b/>
          <w:noProof/>
          <w:color w:val="073E87" w:themeColor="text2"/>
          <w:sz w:val="36"/>
        </w:rPr>
        <mc:AlternateContent>
          <mc:Choice Requires="wps">
            <w:drawing>
              <wp:anchor distT="0" distB="0" distL="114300" distR="114300" simplePos="0" relativeHeight="251659264" behindDoc="0" locked="0" layoutInCell="1" allowOverlap="1" wp14:anchorId="1601EC36" wp14:editId="62CF830C">
                <wp:simplePos x="0" y="0"/>
                <wp:positionH relativeFrom="column">
                  <wp:posOffset>-749300</wp:posOffset>
                </wp:positionH>
                <wp:positionV relativeFrom="paragraph">
                  <wp:posOffset>-78267</wp:posOffset>
                </wp:positionV>
                <wp:extent cx="8187055" cy="678815"/>
                <wp:effectExtent l="0" t="0" r="23495" b="26035"/>
                <wp:wrapNone/>
                <wp:docPr id="1" name="Rectangle 1"/>
                <wp:cNvGraphicFramePr/>
                <a:graphic xmlns:a="http://schemas.openxmlformats.org/drawingml/2006/main">
                  <a:graphicData uri="http://schemas.microsoft.com/office/word/2010/wordprocessingShape">
                    <wps:wsp>
                      <wps:cNvSpPr/>
                      <wps:spPr>
                        <a:xfrm>
                          <a:off x="0" y="0"/>
                          <a:ext cx="8187055" cy="678815"/>
                        </a:xfrm>
                        <a:prstGeom prst="rect">
                          <a:avLst/>
                        </a:prstGeom>
                        <a:solidFill>
                          <a:schemeClr val="accent5">
                            <a:lumMod val="20000"/>
                            <a:lumOff val="8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945" w:rsidRPr="00F444C4" w:rsidRDefault="00462945" w:rsidP="00F444C4">
                            <w:pPr>
                              <w:shd w:val="clear" w:color="auto" w:fill="FDF2D8" w:themeFill="accent5" w:themeFillTint="33"/>
                              <w:ind w:left="900"/>
                              <w:rPr>
                                <w:rFonts w:ascii="Calibri" w:hAnsi="Calibri"/>
                                <w:b/>
                                <w:color w:val="073E87" w:themeColor="text2"/>
                                <w:sz w:val="36"/>
                              </w:rPr>
                            </w:pPr>
                            <w:r w:rsidRPr="00F444C4">
                              <w:rPr>
                                <w:rFonts w:ascii="Calibri" w:hAnsi="Calibri"/>
                                <w:b/>
                                <w:color w:val="073E87" w:themeColor="text2"/>
                                <w:sz w:val="36"/>
                              </w:rPr>
                              <w:t>Tools and Resources</w:t>
                            </w:r>
                          </w:p>
                          <w:p w:rsidR="00462945" w:rsidRPr="00462945" w:rsidRDefault="00C94EAC" w:rsidP="00C94EAC">
                            <w:pPr>
                              <w:shd w:val="clear" w:color="auto" w:fill="FDF2D8" w:themeFill="accent5" w:themeFillTint="33"/>
                              <w:ind w:left="900"/>
                              <w:rPr>
                                <w:rFonts w:ascii="Calibri" w:hAnsi="Calibri"/>
                                <w:b/>
                                <w:sz w:val="24"/>
                              </w:rPr>
                            </w:pPr>
                            <w:r w:rsidRPr="00C94EAC">
                              <w:rPr>
                                <w:rFonts w:ascii="Calibri" w:hAnsi="Calibri"/>
                                <w:b/>
                                <w:sz w:val="24"/>
                              </w:rPr>
                              <w:t>Protecting Public Health through Private Well Testing and Treatment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9pt;margin-top:-6.15pt;width:644.6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" fillcolor="#fdf2d8 [664]" strokecolor="#fbe5b2 [1304]" strokeweight="1.25pt">
                <v:textbox>
                  <w:txbxContent>
                    <w:p w:rsidR="00462945" w:rsidRPr="00F444C4" w:rsidRDefault="00462945" w:rsidP="00F444C4">
                      <w:pPr>
                        <w:shd w:val="clear" w:color="auto" w:fill="FDF2D8" w:themeFill="accent5" w:themeFillTint="33"/>
                        <w:ind w:left="900"/>
                        <w:rPr>
                          <w:rFonts w:ascii="Calibri" w:hAnsi="Calibri"/>
                          <w:b/>
                          <w:color w:val="073E87" w:themeColor="text2"/>
                          <w:sz w:val="36"/>
                        </w:rPr>
                      </w:pPr>
                      <w:r w:rsidRPr="00F444C4">
                        <w:rPr>
                          <w:rFonts w:ascii="Calibri" w:hAnsi="Calibri"/>
                          <w:b/>
                          <w:color w:val="073E87" w:themeColor="text2"/>
                          <w:sz w:val="36"/>
                        </w:rPr>
                        <w:t>Tools and Resources</w:t>
                      </w:r>
                    </w:p>
                    <w:p w:rsidR="00462945" w:rsidRPr="00462945" w:rsidRDefault="00C94EAC" w:rsidP="00C94EAC">
                      <w:pPr>
                        <w:shd w:val="clear" w:color="auto" w:fill="FDF2D8" w:themeFill="accent5" w:themeFillTint="33"/>
                        <w:ind w:left="900"/>
                        <w:rPr>
                          <w:rFonts w:ascii="Calibri" w:hAnsi="Calibri"/>
                          <w:b/>
                          <w:sz w:val="24"/>
                        </w:rPr>
                      </w:pPr>
                      <w:r w:rsidRPr="00C94EAC">
                        <w:rPr>
                          <w:rFonts w:ascii="Calibri" w:hAnsi="Calibri"/>
                          <w:b/>
                          <w:sz w:val="24"/>
                        </w:rPr>
                        <w:t>Protecting Public Health through Private Well Testing and Treatment</w:t>
                      </w:r>
                      <w:bookmarkStart w:id="1" w:name="_GoBack"/>
                      <w:bookmarkEnd w:id="1"/>
                    </w:p>
                  </w:txbxContent>
                </v:textbox>
              </v:rect>
            </w:pict>
          </mc:Fallback>
        </mc:AlternateContent>
      </w:r>
      <w:r w:rsidR="001F7365" w:rsidRPr="00F444C4">
        <w:rPr>
          <w:rFonts w:ascii="Calibri" w:hAnsi="Calibri"/>
          <w:b/>
          <w:color w:val="073E87" w:themeColor="text2"/>
          <w:sz w:val="36"/>
        </w:rPr>
        <w:t>Tools and Resources</w:t>
      </w:r>
    </w:p>
    <w:p w:rsidR="001F7365" w:rsidRPr="00F444C4" w:rsidRDefault="001F7365" w:rsidP="00F444C4">
      <w:pPr>
        <w:pBdr>
          <w:bottom w:val="single" w:sz="4" w:space="1" w:color="073E87" w:themeColor="text2"/>
        </w:pBdr>
        <w:shd w:val="clear" w:color="auto" w:fill="FDF2D8" w:themeFill="accent5" w:themeFillTint="33"/>
        <w:rPr>
          <w:rFonts w:ascii="Calibri" w:hAnsi="Calibri"/>
          <w:sz w:val="24"/>
        </w:rPr>
      </w:pPr>
      <w:r w:rsidRPr="00F444C4">
        <w:rPr>
          <w:rFonts w:ascii="Calibri" w:hAnsi="Calibri"/>
          <w:sz w:val="24"/>
        </w:rPr>
        <w:t>Private (Domestic) Well Water Quality and Public Health</w:t>
      </w:r>
    </w:p>
    <w:p w:rsidR="00907E68" w:rsidRDefault="00907E68">
      <w:pPr>
        <w:rPr>
          <w:rFonts w:ascii="Calibri" w:hAnsi="Calibri"/>
        </w:rPr>
      </w:pPr>
    </w:p>
    <w:p w:rsidR="00F10E58" w:rsidRPr="00F444C4" w:rsidRDefault="00F10E58">
      <w:pPr>
        <w:rPr>
          <w:rFonts w:ascii="Calibri" w:hAnsi="Calibri"/>
        </w:rPr>
      </w:pPr>
    </w:p>
    <w:p w:rsidR="00773232" w:rsidRPr="00F444C4" w:rsidRDefault="00773232" w:rsidP="00773232">
      <w:pPr>
        <w:rPr>
          <w:rFonts w:asciiTheme="majorHAnsi" w:hAnsiTheme="majorHAnsi"/>
          <w:b/>
          <w:color w:val="073E87" w:themeColor="text2"/>
        </w:rPr>
      </w:pPr>
      <w:r w:rsidRPr="00F444C4">
        <w:rPr>
          <w:rFonts w:asciiTheme="majorHAnsi" w:hAnsiTheme="majorHAnsi"/>
          <w:b/>
          <w:color w:val="073E87" w:themeColor="text2"/>
        </w:rPr>
        <w:t>CDC: Private Ground Water Wells</w:t>
      </w:r>
    </w:p>
    <w:p w:rsidR="00773232" w:rsidRPr="00F10E58" w:rsidRDefault="00C94EAC" w:rsidP="00773232">
      <w:pPr>
        <w:rPr>
          <w:rFonts w:ascii="Calibri" w:hAnsi="Calibri"/>
          <w:color w:val="936A07" w:themeColor="accent5" w:themeShade="80"/>
        </w:rPr>
      </w:pPr>
      <w:hyperlink r:id="rId7" w:history="1">
        <w:r w:rsidR="00773232" w:rsidRPr="00F10E58">
          <w:rPr>
            <w:rStyle w:val="Hyperlink"/>
            <w:rFonts w:ascii="Calibri" w:hAnsi="Calibri"/>
            <w:color w:val="936A07" w:themeColor="accent5" w:themeShade="80"/>
          </w:rPr>
          <w:t>http://www.cdc.gov/healthywater/drinking/private/wells/</w:t>
        </w:r>
      </w:hyperlink>
    </w:p>
    <w:p w:rsidR="00773232" w:rsidRPr="00F444C4" w:rsidRDefault="00773232" w:rsidP="00773232">
      <w:pPr>
        <w:rPr>
          <w:rFonts w:ascii="Calibri" w:hAnsi="Calibri"/>
        </w:rPr>
      </w:pPr>
      <w:r w:rsidRPr="00F444C4">
        <w:rPr>
          <w:rFonts w:ascii="Calibri" w:hAnsi="Calibri"/>
        </w:rPr>
        <w:t xml:space="preserve">The Center for Disease Control (CDC) has compiled facts and resources for private ground water wells on this webpage.  The directory contains links to the basics of drinking </w:t>
      </w:r>
      <w:r w:rsidRPr="00462945">
        <w:rPr>
          <w:rFonts w:ascii="Calibri" w:hAnsi="Calibri"/>
          <w:color w:val="000000" w:themeColor="text1"/>
        </w:rPr>
        <w:t xml:space="preserve">water </w:t>
      </w:r>
      <w:r w:rsidRPr="00F444C4">
        <w:rPr>
          <w:rFonts w:ascii="Calibri" w:hAnsi="Calibri"/>
        </w:rPr>
        <w:t xml:space="preserve">wells, proper location of wells, possible </w:t>
      </w:r>
      <w:r w:rsidRPr="00462945">
        <w:rPr>
          <w:rFonts w:ascii="Calibri" w:hAnsi="Calibri"/>
          <w:color w:val="000000" w:themeColor="text1"/>
        </w:rPr>
        <w:t>contaminants</w:t>
      </w:r>
      <w:r w:rsidR="00E47D2C" w:rsidRPr="00462945">
        <w:rPr>
          <w:rFonts w:ascii="Calibri" w:hAnsi="Calibri"/>
          <w:color w:val="000000" w:themeColor="text1"/>
        </w:rPr>
        <w:t xml:space="preserve"> and health risks</w:t>
      </w:r>
      <w:r w:rsidRPr="00462945">
        <w:rPr>
          <w:rFonts w:ascii="Calibri" w:hAnsi="Calibri"/>
          <w:color w:val="000000" w:themeColor="text1"/>
        </w:rPr>
        <w:t xml:space="preserve">, suggested maintenance, and emergency treatment.  It includes resources </w:t>
      </w:r>
      <w:r w:rsidRPr="00F444C4">
        <w:rPr>
          <w:rFonts w:ascii="Calibri" w:hAnsi="Calibri"/>
        </w:rPr>
        <w:t>developed by the CDC as well as the Environmental Protection Agency (EPA), the U.S. Geological Survey (USGS) and the National Ground Water Association.</w:t>
      </w:r>
    </w:p>
    <w:p w:rsidR="00773232" w:rsidRPr="00F444C4" w:rsidRDefault="00773232" w:rsidP="00773232">
      <w:pPr>
        <w:rPr>
          <w:rFonts w:ascii="Calibri" w:hAnsi="Calibri"/>
        </w:rPr>
      </w:pPr>
    </w:p>
    <w:p w:rsidR="00907E68" w:rsidRPr="00F444C4" w:rsidRDefault="00FB145A">
      <w:pPr>
        <w:rPr>
          <w:rFonts w:asciiTheme="majorHAnsi" w:hAnsiTheme="majorHAnsi"/>
          <w:b/>
          <w:color w:val="073E87" w:themeColor="text2"/>
        </w:rPr>
      </w:pPr>
      <w:r w:rsidRPr="00F444C4">
        <w:rPr>
          <w:rFonts w:asciiTheme="majorHAnsi" w:hAnsiTheme="majorHAnsi"/>
          <w:b/>
          <w:color w:val="073E87" w:themeColor="text2"/>
        </w:rPr>
        <w:t>EPA</w:t>
      </w:r>
      <w:r w:rsidR="00907E68" w:rsidRPr="00F444C4">
        <w:rPr>
          <w:rFonts w:asciiTheme="majorHAnsi" w:hAnsiTheme="majorHAnsi"/>
          <w:b/>
          <w:color w:val="073E87" w:themeColor="text2"/>
        </w:rPr>
        <w:t>: Information on Private Drinking Water Wells</w:t>
      </w:r>
    </w:p>
    <w:p w:rsidR="00907E68" w:rsidRPr="00F10E58" w:rsidRDefault="00C94EAC" w:rsidP="00907E68">
      <w:pPr>
        <w:rPr>
          <w:rFonts w:ascii="Calibri" w:hAnsi="Calibri"/>
          <w:color w:val="936A07" w:themeColor="accent5" w:themeShade="80"/>
        </w:rPr>
      </w:pPr>
      <w:hyperlink r:id="rId8" w:history="1">
        <w:r w:rsidR="00907E68" w:rsidRPr="00F10E58">
          <w:rPr>
            <w:rStyle w:val="Hyperlink"/>
            <w:rFonts w:ascii="Calibri" w:hAnsi="Calibri"/>
            <w:color w:val="936A07" w:themeColor="accent5" w:themeShade="80"/>
          </w:rPr>
          <w:t>http://water.epa.gov/drink/info/well/index.cfm</w:t>
        </w:r>
      </w:hyperlink>
      <w:r w:rsidR="00907E68" w:rsidRPr="00F10E58">
        <w:rPr>
          <w:rFonts w:ascii="Calibri" w:hAnsi="Calibri"/>
          <w:color w:val="936A07" w:themeColor="accent5" w:themeShade="80"/>
        </w:rPr>
        <w:t xml:space="preserve"> </w:t>
      </w:r>
    </w:p>
    <w:p w:rsidR="00907E68" w:rsidRPr="00F444C4" w:rsidRDefault="00907E68" w:rsidP="00907E68">
      <w:pPr>
        <w:rPr>
          <w:rFonts w:ascii="Calibri" w:hAnsi="Calibri"/>
        </w:rPr>
      </w:pPr>
      <w:r w:rsidRPr="00F444C4">
        <w:rPr>
          <w:rFonts w:ascii="Calibri" w:hAnsi="Calibri"/>
        </w:rPr>
        <w:t>Provides basic information on drinking water wells as well as health risks, frequently asked questions, location-specific information, and steps homeowners can take to protect their well.</w:t>
      </w:r>
    </w:p>
    <w:p w:rsidR="00907E68" w:rsidRPr="00F444C4" w:rsidRDefault="00907E68" w:rsidP="00907E68">
      <w:pPr>
        <w:rPr>
          <w:rFonts w:ascii="Calibri" w:hAnsi="Calibri"/>
        </w:rPr>
      </w:pPr>
    </w:p>
    <w:p w:rsidR="00907E68" w:rsidRPr="00F444C4" w:rsidRDefault="00FB145A" w:rsidP="00907E68">
      <w:pPr>
        <w:rPr>
          <w:rFonts w:asciiTheme="majorHAnsi" w:hAnsiTheme="majorHAnsi"/>
          <w:b/>
          <w:color w:val="073E87" w:themeColor="text2"/>
        </w:rPr>
      </w:pPr>
      <w:r w:rsidRPr="00F444C4">
        <w:rPr>
          <w:rFonts w:asciiTheme="majorHAnsi" w:hAnsiTheme="majorHAnsi"/>
          <w:b/>
          <w:color w:val="073E87" w:themeColor="text2"/>
        </w:rPr>
        <w:t>EPA</w:t>
      </w:r>
      <w:r w:rsidR="00FF3849" w:rsidRPr="00F444C4">
        <w:rPr>
          <w:rFonts w:asciiTheme="majorHAnsi" w:hAnsiTheme="majorHAnsi"/>
          <w:b/>
          <w:color w:val="073E87" w:themeColor="text2"/>
        </w:rPr>
        <w:t>:</w:t>
      </w:r>
      <w:r w:rsidR="00D30511" w:rsidRPr="00F444C4">
        <w:rPr>
          <w:rFonts w:asciiTheme="majorHAnsi" w:hAnsiTheme="majorHAnsi"/>
          <w:b/>
          <w:color w:val="073E87" w:themeColor="text2"/>
        </w:rPr>
        <w:t xml:space="preserve"> Surf Your Watershed</w:t>
      </w:r>
    </w:p>
    <w:p w:rsidR="00907E68" w:rsidRPr="00F10E58" w:rsidRDefault="00C94EAC" w:rsidP="00907E68">
      <w:pPr>
        <w:rPr>
          <w:rFonts w:ascii="Calibri" w:hAnsi="Calibri"/>
          <w:color w:val="936A07" w:themeColor="accent5" w:themeShade="80"/>
        </w:rPr>
      </w:pPr>
      <w:hyperlink r:id="rId9" w:history="1">
        <w:r w:rsidR="00FF3849" w:rsidRPr="00F10E58">
          <w:rPr>
            <w:rStyle w:val="Hyperlink"/>
            <w:rFonts w:ascii="Calibri" w:hAnsi="Calibri"/>
            <w:color w:val="936A07" w:themeColor="accent5" w:themeShade="80"/>
          </w:rPr>
          <w:t>http://cfpub.epa.gov/surf/locate/index.cfm</w:t>
        </w:r>
      </w:hyperlink>
    </w:p>
    <w:p w:rsidR="00D30511" w:rsidRPr="00F444C4" w:rsidRDefault="00FF3849" w:rsidP="00907E68">
      <w:pPr>
        <w:rPr>
          <w:rFonts w:ascii="Calibri" w:hAnsi="Calibri"/>
        </w:rPr>
      </w:pPr>
      <w:r w:rsidRPr="00F444C4">
        <w:rPr>
          <w:rFonts w:ascii="Calibri" w:hAnsi="Calibri"/>
        </w:rPr>
        <w:t xml:space="preserve">This tool provides information and resources to better understand the health of your watershed.  </w:t>
      </w:r>
      <w:r w:rsidR="00D30511" w:rsidRPr="00F444C4">
        <w:rPr>
          <w:rFonts w:ascii="Calibri" w:hAnsi="Calibri"/>
        </w:rPr>
        <w:t xml:space="preserve">The site directs users to watershed assessment data, EPA databases on toxic releases, hazardous materials, and Superfund sites, national information on groundwater and drinking </w:t>
      </w:r>
      <w:r w:rsidR="00F36F4E" w:rsidRPr="00F444C4">
        <w:rPr>
          <w:rFonts w:ascii="Calibri" w:hAnsi="Calibri"/>
        </w:rPr>
        <w:t>water, as well as other useful watershed-based information.</w:t>
      </w:r>
    </w:p>
    <w:p w:rsidR="00D30511" w:rsidRPr="00F444C4" w:rsidRDefault="00D30511" w:rsidP="00907E68">
      <w:pPr>
        <w:rPr>
          <w:rFonts w:ascii="Calibri" w:hAnsi="Calibri"/>
        </w:rPr>
      </w:pPr>
    </w:p>
    <w:p w:rsidR="00FF3849" w:rsidRPr="00F444C4" w:rsidRDefault="00FB145A" w:rsidP="00907E68">
      <w:pPr>
        <w:rPr>
          <w:rFonts w:asciiTheme="majorHAnsi" w:hAnsiTheme="majorHAnsi"/>
          <w:b/>
          <w:color w:val="073E87" w:themeColor="text2"/>
        </w:rPr>
      </w:pPr>
      <w:r w:rsidRPr="00F444C4">
        <w:rPr>
          <w:rFonts w:asciiTheme="majorHAnsi" w:hAnsiTheme="majorHAnsi"/>
          <w:b/>
          <w:color w:val="073E87" w:themeColor="text2"/>
        </w:rPr>
        <w:t>EPA</w:t>
      </w:r>
      <w:r w:rsidR="00D30511" w:rsidRPr="00F444C4">
        <w:rPr>
          <w:rFonts w:asciiTheme="majorHAnsi" w:hAnsiTheme="majorHAnsi"/>
          <w:b/>
          <w:color w:val="073E87" w:themeColor="text2"/>
        </w:rPr>
        <w:t>: State Private Drinking Wells Websites</w:t>
      </w:r>
    </w:p>
    <w:p w:rsidR="00FF3849" w:rsidRPr="00F10E58" w:rsidRDefault="00C94EAC" w:rsidP="00907E68">
      <w:pPr>
        <w:rPr>
          <w:rFonts w:ascii="Calibri" w:hAnsi="Calibri"/>
          <w:color w:val="936A07" w:themeColor="accent5" w:themeShade="80"/>
        </w:rPr>
      </w:pPr>
      <w:hyperlink r:id="rId10" w:history="1">
        <w:r w:rsidR="00D30511" w:rsidRPr="00F10E58">
          <w:rPr>
            <w:rStyle w:val="Hyperlink"/>
            <w:rFonts w:ascii="Calibri" w:hAnsi="Calibri"/>
            <w:color w:val="936A07" w:themeColor="accent5" w:themeShade="80"/>
          </w:rPr>
          <w:t>http://water.epa.gov/drink/info/well/whereyoulive_state.cfm</w:t>
        </w:r>
      </w:hyperlink>
    </w:p>
    <w:p w:rsidR="00D30511" w:rsidRPr="00F444C4" w:rsidRDefault="00D30511" w:rsidP="00907E68">
      <w:pPr>
        <w:rPr>
          <w:rFonts w:ascii="Calibri" w:hAnsi="Calibri"/>
        </w:rPr>
      </w:pPr>
      <w:proofErr w:type="gramStart"/>
      <w:r w:rsidRPr="00F444C4">
        <w:rPr>
          <w:rFonts w:ascii="Calibri" w:hAnsi="Calibri"/>
        </w:rPr>
        <w:t>Directory of state government websites providing private well</w:t>
      </w:r>
      <w:r w:rsidR="00FB145A" w:rsidRPr="00F444C4">
        <w:rPr>
          <w:rFonts w:ascii="Calibri" w:hAnsi="Calibri"/>
        </w:rPr>
        <w:t xml:space="preserve"> information for their state.</w:t>
      </w:r>
      <w:proofErr w:type="gramEnd"/>
      <w:r w:rsidRPr="00F444C4">
        <w:rPr>
          <w:rFonts w:ascii="Calibri" w:hAnsi="Calibri"/>
        </w:rPr>
        <w:t xml:space="preserve"> </w:t>
      </w:r>
    </w:p>
    <w:p w:rsidR="00FF3849" w:rsidRPr="00F444C4" w:rsidRDefault="00FF3849" w:rsidP="00907E68">
      <w:pPr>
        <w:rPr>
          <w:rFonts w:ascii="Calibri" w:hAnsi="Calibri"/>
        </w:rPr>
      </w:pPr>
    </w:p>
    <w:p w:rsidR="00FF3849" w:rsidRPr="00F444C4" w:rsidRDefault="00FB145A" w:rsidP="00907E68">
      <w:pPr>
        <w:rPr>
          <w:rFonts w:asciiTheme="majorHAnsi" w:hAnsiTheme="majorHAnsi"/>
          <w:b/>
          <w:color w:val="073E87" w:themeColor="text2"/>
        </w:rPr>
      </w:pPr>
      <w:r w:rsidRPr="00F444C4">
        <w:rPr>
          <w:rFonts w:asciiTheme="majorHAnsi" w:hAnsiTheme="majorHAnsi"/>
          <w:b/>
          <w:color w:val="073E87" w:themeColor="text2"/>
        </w:rPr>
        <w:t xml:space="preserve">EPA: </w:t>
      </w:r>
      <w:r w:rsidR="00D30511" w:rsidRPr="00F444C4">
        <w:rPr>
          <w:rFonts w:asciiTheme="majorHAnsi" w:hAnsiTheme="majorHAnsi"/>
          <w:b/>
          <w:color w:val="073E87" w:themeColor="text2"/>
        </w:rPr>
        <w:t>State Certification Officers for Drinking Water Laboratories</w:t>
      </w:r>
    </w:p>
    <w:p w:rsidR="00FB145A" w:rsidRPr="00F10E58" w:rsidRDefault="00C94EAC" w:rsidP="00907E68">
      <w:pPr>
        <w:rPr>
          <w:rFonts w:ascii="Calibri" w:hAnsi="Calibri"/>
          <w:color w:val="936A07" w:themeColor="accent5" w:themeShade="80"/>
        </w:rPr>
      </w:pPr>
      <w:hyperlink r:id="rId11" w:history="1">
        <w:r w:rsidR="00FB145A" w:rsidRPr="00F10E58">
          <w:rPr>
            <w:rStyle w:val="Hyperlink"/>
            <w:rFonts w:ascii="Calibri" w:hAnsi="Calibri"/>
            <w:color w:val="936A07" w:themeColor="accent5" w:themeShade="80"/>
          </w:rPr>
          <w:t>http://water.epa.gov/scitech/drinkingwater/labcert/statecertification.cfm</w:t>
        </w:r>
      </w:hyperlink>
    </w:p>
    <w:p w:rsidR="00FB145A" w:rsidRPr="00F444C4" w:rsidRDefault="00FB145A" w:rsidP="00907E68">
      <w:pPr>
        <w:rPr>
          <w:rFonts w:ascii="Calibri" w:hAnsi="Calibri"/>
        </w:rPr>
      </w:pPr>
      <w:proofErr w:type="gramStart"/>
      <w:r w:rsidRPr="00F444C4">
        <w:rPr>
          <w:rFonts w:ascii="Calibri" w:hAnsi="Calibri"/>
        </w:rPr>
        <w:t>Certified drinking water testing laboratories by state.</w:t>
      </w:r>
      <w:proofErr w:type="gramEnd"/>
    </w:p>
    <w:p w:rsidR="00FB145A" w:rsidRPr="00F444C4" w:rsidRDefault="00FB145A" w:rsidP="00907E68">
      <w:pPr>
        <w:rPr>
          <w:rFonts w:ascii="Calibri" w:hAnsi="Calibri"/>
        </w:rPr>
      </w:pPr>
    </w:p>
    <w:p w:rsidR="00B834BD" w:rsidRPr="00F444C4" w:rsidRDefault="00757426" w:rsidP="00907E68">
      <w:pPr>
        <w:rPr>
          <w:rFonts w:asciiTheme="majorHAnsi" w:hAnsiTheme="majorHAnsi"/>
          <w:b/>
          <w:color w:val="073E87" w:themeColor="text2"/>
        </w:rPr>
      </w:pPr>
      <w:r w:rsidRPr="00F444C4">
        <w:rPr>
          <w:rFonts w:asciiTheme="majorHAnsi" w:hAnsiTheme="majorHAnsi"/>
          <w:b/>
          <w:color w:val="073E87" w:themeColor="text2"/>
        </w:rPr>
        <w:t>Colorado State University Cooperative Extension</w:t>
      </w:r>
      <w:r w:rsidR="0041243F" w:rsidRPr="00F444C4">
        <w:rPr>
          <w:rFonts w:asciiTheme="majorHAnsi" w:hAnsiTheme="majorHAnsi"/>
          <w:b/>
          <w:color w:val="073E87" w:themeColor="text2"/>
        </w:rPr>
        <w:t>: Wa</w:t>
      </w:r>
      <w:r w:rsidRPr="00F444C4">
        <w:rPr>
          <w:rFonts w:asciiTheme="majorHAnsi" w:hAnsiTheme="majorHAnsi"/>
          <w:b/>
          <w:color w:val="073E87" w:themeColor="text2"/>
        </w:rPr>
        <w:t>ter Quality Interpretation Tool</w:t>
      </w:r>
    </w:p>
    <w:p w:rsidR="00B834BD" w:rsidRPr="00F10E58" w:rsidRDefault="00C94EAC" w:rsidP="00907E68">
      <w:pPr>
        <w:rPr>
          <w:rFonts w:ascii="Calibri" w:hAnsi="Calibri"/>
          <w:color w:val="936A07" w:themeColor="accent5" w:themeShade="80"/>
        </w:rPr>
      </w:pPr>
      <w:hyperlink r:id="rId12" w:history="1">
        <w:r w:rsidR="00B834BD" w:rsidRPr="00F10E58">
          <w:rPr>
            <w:rStyle w:val="Hyperlink"/>
            <w:rFonts w:ascii="Calibri" w:hAnsi="Calibri"/>
            <w:color w:val="936A07" w:themeColor="accent5" w:themeShade="80"/>
          </w:rPr>
          <w:t>https://erams.com/wqtool/</w:t>
        </w:r>
      </w:hyperlink>
      <w:r w:rsidR="00B834BD" w:rsidRPr="00F10E58">
        <w:rPr>
          <w:rFonts w:ascii="Calibri" w:hAnsi="Calibri"/>
          <w:color w:val="936A07" w:themeColor="accent5" w:themeShade="80"/>
        </w:rPr>
        <w:t xml:space="preserve"> </w:t>
      </w:r>
    </w:p>
    <w:p w:rsidR="00B834BD" w:rsidRPr="00F444C4" w:rsidRDefault="00D45EDB" w:rsidP="00D45EDB">
      <w:pPr>
        <w:rPr>
          <w:rFonts w:ascii="Calibri" w:hAnsi="Calibri"/>
        </w:rPr>
      </w:pPr>
      <w:r w:rsidRPr="00F444C4">
        <w:rPr>
          <w:rFonts w:ascii="Calibri" w:hAnsi="Calibri"/>
        </w:rPr>
        <w:t>Tool developed by</w:t>
      </w:r>
      <w:r w:rsidR="0041243F" w:rsidRPr="00F444C4">
        <w:rPr>
          <w:rFonts w:ascii="Calibri" w:hAnsi="Calibri"/>
        </w:rPr>
        <w:t xml:space="preserve"> </w:t>
      </w:r>
      <w:r w:rsidRPr="00F444C4">
        <w:rPr>
          <w:rFonts w:ascii="Calibri" w:hAnsi="Calibri"/>
        </w:rPr>
        <w:t>Colorado State University, with collaboration from western U.S. land grant universities, to</w:t>
      </w:r>
      <w:r w:rsidR="0041243F" w:rsidRPr="00F444C4">
        <w:rPr>
          <w:rFonts w:ascii="Calibri" w:hAnsi="Calibri"/>
        </w:rPr>
        <w:t xml:space="preserve"> evaluate laboratory water testing results.  The tool can be used to interpret water quality </w:t>
      </w:r>
      <w:proofErr w:type="gramStart"/>
      <w:r w:rsidR="0041243F" w:rsidRPr="00F444C4">
        <w:rPr>
          <w:rFonts w:ascii="Calibri" w:hAnsi="Calibri"/>
        </w:rPr>
        <w:t>tests conducted throughout the United States, but specializes</w:t>
      </w:r>
      <w:proofErr w:type="gramEnd"/>
      <w:r w:rsidR="0041243F" w:rsidRPr="00F444C4">
        <w:rPr>
          <w:rFonts w:ascii="Calibri" w:hAnsi="Calibri"/>
        </w:rPr>
        <w:t xml:space="preserve"> in interpreting samples collected in Colorado, Montana, North Dakota, South Dakota, Oklahoma, Utah, and Wyoming.  </w:t>
      </w:r>
    </w:p>
    <w:p w:rsidR="007F545C" w:rsidRPr="00F444C4" w:rsidRDefault="007F545C" w:rsidP="007F545C">
      <w:pPr>
        <w:rPr>
          <w:rFonts w:ascii="Calibri" w:hAnsi="Calibri"/>
        </w:rPr>
      </w:pPr>
    </w:p>
    <w:p w:rsidR="007F545C" w:rsidRPr="00F444C4" w:rsidRDefault="007F545C" w:rsidP="007F545C">
      <w:pPr>
        <w:rPr>
          <w:rFonts w:asciiTheme="majorHAnsi" w:hAnsiTheme="majorHAnsi"/>
          <w:b/>
          <w:color w:val="073E87" w:themeColor="text2"/>
        </w:rPr>
      </w:pPr>
      <w:r w:rsidRPr="00F444C4">
        <w:rPr>
          <w:rFonts w:asciiTheme="majorHAnsi" w:hAnsiTheme="majorHAnsi"/>
          <w:b/>
          <w:color w:val="073E87" w:themeColor="text2"/>
        </w:rPr>
        <w:t>National Water Program: Drinking Water and Human Health</w:t>
      </w:r>
    </w:p>
    <w:p w:rsidR="007F545C" w:rsidRPr="00F10E58" w:rsidRDefault="00C94EAC" w:rsidP="007F545C">
      <w:pPr>
        <w:rPr>
          <w:rStyle w:val="Hyperlink"/>
          <w:rFonts w:ascii="Calibri" w:hAnsi="Calibri"/>
          <w:color w:val="936A07" w:themeColor="accent5" w:themeShade="80"/>
        </w:rPr>
      </w:pPr>
      <w:hyperlink r:id="rId13" w:history="1">
        <w:r w:rsidR="007F545C" w:rsidRPr="00F10E58">
          <w:rPr>
            <w:rStyle w:val="Hyperlink"/>
            <w:rFonts w:ascii="Calibri" w:hAnsi="Calibri"/>
            <w:color w:val="936A07" w:themeColor="accent5" w:themeShade="80"/>
          </w:rPr>
          <w:t>http://www.usawaterquality.org/themes/health/default.html</w:t>
        </w:r>
      </w:hyperlink>
    </w:p>
    <w:p w:rsidR="0041243F" w:rsidRPr="00F444C4" w:rsidRDefault="007F545C" w:rsidP="00907E68">
      <w:pPr>
        <w:rPr>
          <w:rFonts w:ascii="Calibri" w:hAnsi="Calibri"/>
        </w:rPr>
      </w:pPr>
      <w:r w:rsidRPr="00F444C4">
        <w:rPr>
          <w:rFonts w:ascii="Calibri" w:hAnsi="Calibri"/>
        </w:rPr>
        <w:t>This website describes the relationship between clean drinking water and human health and provides links to regional initiatives for safe private drinking water wells.</w:t>
      </w:r>
    </w:p>
    <w:p w:rsidR="00837C8D" w:rsidRPr="00F444C4" w:rsidRDefault="00837C8D" w:rsidP="00907E68">
      <w:pPr>
        <w:rPr>
          <w:rFonts w:ascii="Calibri" w:hAnsi="Calibri"/>
        </w:rPr>
      </w:pPr>
    </w:p>
    <w:p w:rsidR="00837C8D" w:rsidRPr="00F444C4" w:rsidRDefault="00837C8D" w:rsidP="00907E68">
      <w:pPr>
        <w:rPr>
          <w:rFonts w:asciiTheme="majorHAnsi" w:hAnsiTheme="majorHAnsi"/>
          <w:b/>
          <w:color w:val="073E87" w:themeColor="text2"/>
        </w:rPr>
      </w:pPr>
      <w:r w:rsidRPr="00F444C4">
        <w:rPr>
          <w:rFonts w:asciiTheme="majorHAnsi" w:hAnsiTheme="majorHAnsi"/>
          <w:b/>
          <w:color w:val="073E87" w:themeColor="text2"/>
        </w:rPr>
        <w:t xml:space="preserve">USDA: 504 </w:t>
      </w:r>
      <w:proofErr w:type="gramStart"/>
      <w:r w:rsidRPr="00F444C4">
        <w:rPr>
          <w:rFonts w:asciiTheme="majorHAnsi" w:hAnsiTheme="majorHAnsi"/>
          <w:b/>
          <w:color w:val="073E87" w:themeColor="text2"/>
        </w:rPr>
        <w:t>Program</w:t>
      </w:r>
      <w:proofErr w:type="gramEnd"/>
    </w:p>
    <w:p w:rsidR="00757426" w:rsidRPr="00F10E58" w:rsidRDefault="00C94EAC" w:rsidP="00907E68">
      <w:pPr>
        <w:rPr>
          <w:rFonts w:ascii="Calibri" w:hAnsi="Calibri"/>
          <w:color w:val="936A07" w:themeColor="accent5" w:themeShade="80"/>
        </w:rPr>
      </w:pPr>
      <w:hyperlink r:id="rId14" w:history="1">
        <w:r w:rsidR="00757426" w:rsidRPr="00F10E58">
          <w:rPr>
            <w:rStyle w:val="Hyperlink"/>
            <w:rFonts w:ascii="Calibri" w:hAnsi="Calibri"/>
            <w:color w:val="936A07" w:themeColor="accent5" w:themeShade="80"/>
          </w:rPr>
          <w:t>http://www.rurdev.usda.gov/MO-fact504.html</w:t>
        </w:r>
      </w:hyperlink>
    </w:p>
    <w:p w:rsidR="00757426" w:rsidRPr="00F444C4" w:rsidRDefault="00757426" w:rsidP="00907E68">
      <w:pPr>
        <w:rPr>
          <w:rFonts w:ascii="Calibri" w:hAnsi="Calibri"/>
        </w:rPr>
      </w:pPr>
      <w:r w:rsidRPr="00F444C4">
        <w:rPr>
          <w:rFonts w:ascii="Calibri" w:hAnsi="Calibri"/>
        </w:rPr>
        <w:t xml:space="preserve">The 504 Program, offered by the USDA, provides financial resources nationally for lower income or elderly residents. For more information, visit the website provided above or contact your state’s USDA Rural Development Office, </w:t>
      </w:r>
      <w:hyperlink r:id="rId15" w:history="1">
        <w:r w:rsidRPr="00F10E58">
          <w:rPr>
            <w:rStyle w:val="Hyperlink"/>
            <w:rFonts w:ascii="Calibri" w:hAnsi="Calibri"/>
            <w:color w:val="936A07" w:themeColor="accent5" w:themeShade="80"/>
          </w:rPr>
          <w:t>http://www.rurdev.usda.gov/MO-fact504.html</w:t>
        </w:r>
      </w:hyperlink>
      <w:r w:rsidRPr="00F444C4">
        <w:rPr>
          <w:rFonts w:ascii="Calibri" w:hAnsi="Calibri"/>
        </w:rPr>
        <w:t xml:space="preserve">. </w:t>
      </w:r>
    </w:p>
    <w:sectPr w:rsidR="00757426" w:rsidRPr="00F444C4" w:rsidSect="00F444C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74A63"/>
    <w:multiLevelType w:val="hybridMultilevel"/>
    <w:tmpl w:val="FF7E53FC"/>
    <w:lvl w:ilvl="0" w:tplc="4A8C5ED6">
      <w:start w:val="1"/>
      <w:numFmt w:val="bullet"/>
      <w:lvlText w:val=""/>
      <w:lvlJc w:val="left"/>
      <w:pPr>
        <w:tabs>
          <w:tab w:val="num" w:pos="720"/>
        </w:tabs>
        <w:ind w:left="720" w:hanging="360"/>
      </w:pPr>
      <w:rPr>
        <w:rFonts w:ascii="Symbol" w:hAnsi="Symbol" w:hint="default"/>
      </w:rPr>
    </w:lvl>
    <w:lvl w:ilvl="1" w:tplc="B25AC2D6">
      <w:start w:val="2115"/>
      <w:numFmt w:val="bullet"/>
      <w:lvlText w:val=""/>
      <w:lvlJc w:val="left"/>
      <w:pPr>
        <w:tabs>
          <w:tab w:val="num" w:pos="1440"/>
        </w:tabs>
        <w:ind w:left="1440" w:hanging="360"/>
      </w:pPr>
      <w:rPr>
        <w:rFonts w:ascii="Symbol" w:hAnsi="Symbol" w:hint="default"/>
      </w:rPr>
    </w:lvl>
    <w:lvl w:ilvl="2" w:tplc="26AE639E" w:tentative="1">
      <w:start w:val="1"/>
      <w:numFmt w:val="bullet"/>
      <w:lvlText w:val=""/>
      <w:lvlJc w:val="left"/>
      <w:pPr>
        <w:tabs>
          <w:tab w:val="num" w:pos="2160"/>
        </w:tabs>
        <w:ind w:left="2160" w:hanging="360"/>
      </w:pPr>
      <w:rPr>
        <w:rFonts w:ascii="Symbol" w:hAnsi="Symbol" w:hint="default"/>
      </w:rPr>
    </w:lvl>
    <w:lvl w:ilvl="3" w:tplc="FEEA0992" w:tentative="1">
      <w:start w:val="1"/>
      <w:numFmt w:val="bullet"/>
      <w:lvlText w:val=""/>
      <w:lvlJc w:val="left"/>
      <w:pPr>
        <w:tabs>
          <w:tab w:val="num" w:pos="2880"/>
        </w:tabs>
        <w:ind w:left="2880" w:hanging="360"/>
      </w:pPr>
      <w:rPr>
        <w:rFonts w:ascii="Symbol" w:hAnsi="Symbol" w:hint="default"/>
      </w:rPr>
    </w:lvl>
    <w:lvl w:ilvl="4" w:tplc="91C0F1C2" w:tentative="1">
      <w:start w:val="1"/>
      <w:numFmt w:val="bullet"/>
      <w:lvlText w:val=""/>
      <w:lvlJc w:val="left"/>
      <w:pPr>
        <w:tabs>
          <w:tab w:val="num" w:pos="3600"/>
        </w:tabs>
        <w:ind w:left="3600" w:hanging="360"/>
      </w:pPr>
      <w:rPr>
        <w:rFonts w:ascii="Symbol" w:hAnsi="Symbol" w:hint="default"/>
      </w:rPr>
    </w:lvl>
    <w:lvl w:ilvl="5" w:tplc="5772260C" w:tentative="1">
      <w:start w:val="1"/>
      <w:numFmt w:val="bullet"/>
      <w:lvlText w:val=""/>
      <w:lvlJc w:val="left"/>
      <w:pPr>
        <w:tabs>
          <w:tab w:val="num" w:pos="4320"/>
        </w:tabs>
        <w:ind w:left="4320" w:hanging="360"/>
      </w:pPr>
      <w:rPr>
        <w:rFonts w:ascii="Symbol" w:hAnsi="Symbol" w:hint="default"/>
      </w:rPr>
    </w:lvl>
    <w:lvl w:ilvl="6" w:tplc="E0DCEA14" w:tentative="1">
      <w:start w:val="1"/>
      <w:numFmt w:val="bullet"/>
      <w:lvlText w:val=""/>
      <w:lvlJc w:val="left"/>
      <w:pPr>
        <w:tabs>
          <w:tab w:val="num" w:pos="5040"/>
        </w:tabs>
        <w:ind w:left="5040" w:hanging="360"/>
      </w:pPr>
      <w:rPr>
        <w:rFonts w:ascii="Symbol" w:hAnsi="Symbol" w:hint="default"/>
      </w:rPr>
    </w:lvl>
    <w:lvl w:ilvl="7" w:tplc="8822FAFC" w:tentative="1">
      <w:start w:val="1"/>
      <w:numFmt w:val="bullet"/>
      <w:lvlText w:val=""/>
      <w:lvlJc w:val="left"/>
      <w:pPr>
        <w:tabs>
          <w:tab w:val="num" w:pos="5760"/>
        </w:tabs>
        <w:ind w:left="5760" w:hanging="360"/>
      </w:pPr>
      <w:rPr>
        <w:rFonts w:ascii="Symbol" w:hAnsi="Symbol" w:hint="default"/>
      </w:rPr>
    </w:lvl>
    <w:lvl w:ilvl="8" w:tplc="5082F68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68"/>
    <w:rsid w:val="001671F0"/>
    <w:rsid w:val="001F7365"/>
    <w:rsid w:val="00266420"/>
    <w:rsid w:val="00356629"/>
    <w:rsid w:val="0041243F"/>
    <w:rsid w:val="00462945"/>
    <w:rsid w:val="00595715"/>
    <w:rsid w:val="0060784B"/>
    <w:rsid w:val="00757426"/>
    <w:rsid w:val="00773232"/>
    <w:rsid w:val="007E39BF"/>
    <w:rsid w:val="007F545C"/>
    <w:rsid w:val="00837C8D"/>
    <w:rsid w:val="00907E68"/>
    <w:rsid w:val="00A706BB"/>
    <w:rsid w:val="00AA55F3"/>
    <w:rsid w:val="00B360A3"/>
    <w:rsid w:val="00B6378B"/>
    <w:rsid w:val="00B834BD"/>
    <w:rsid w:val="00C94EAC"/>
    <w:rsid w:val="00D30511"/>
    <w:rsid w:val="00D45EDB"/>
    <w:rsid w:val="00E47D2C"/>
    <w:rsid w:val="00F10E58"/>
    <w:rsid w:val="00F36F4E"/>
    <w:rsid w:val="00F444C4"/>
    <w:rsid w:val="00FB145A"/>
    <w:rsid w:val="00FD06CC"/>
    <w:rsid w:val="00FF3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E68"/>
    <w:rPr>
      <w:color w:val="0080FF" w:themeColor="hyperlink"/>
      <w:u w:val="single"/>
    </w:rPr>
  </w:style>
  <w:style w:type="character" w:styleId="FollowedHyperlink">
    <w:name w:val="FollowedHyperlink"/>
    <w:basedOn w:val="DefaultParagraphFont"/>
    <w:uiPriority w:val="99"/>
    <w:semiHidden/>
    <w:unhideWhenUsed/>
    <w:rsid w:val="00B834BD"/>
    <w:rPr>
      <w:color w:val="5EAE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E68"/>
    <w:rPr>
      <w:color w:val="0080FF" w:themeColor="hyperlink"/>
      <w:u w:val="single"/>
    </w:rPr>
  </w:style>
  <w:style w:type="character" w:styleId="FollowedHyperlink">
    <w:name w:val="FollowedHyperlink"/>
    <w:basedOn w:val="DefaultParagraphFont"/>
    <w:uiPriority w:val="99"/>
    <w:semiHidden/>
    <w:unhideWhenUsed/>
    <w:rsid w:val="00B834BD"/>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19936">
      <w:bodyDiv w:val="1"/>
      <w:marLeft w:val="0"/>
      <w:marRight w:val="0"/>
      <w:marTop w:val="0"/>
      <w:marBottom w:val="0"/>
      <w:divBdr>
        <w:top w:val="none" w:sz="0" w:space="0" w:color="auto"/>
        <w:left w:val="none" w:sz="0" w:space="0" w:color="auto"/>
        <w:bottom w:val="none" w:sz="0" w:space="0" w:color="auto"/>
        <w:right w:val="none" w:sz="0" w:space="0" w:color="auto"/>
      </w:divBdr>
      <w:divsChild>
        <w:div w:id="934166580">
          <w:marLeft w:val="0"/>
          <w:marRight w:val="0"/>
          <w:marTop w:val="0"/>
          <w:marBottom w:val="0"/>
          <w:divBdr>
            <w:top w:val="none" w:sz="0" w:space="0" w:color="auto"/>
            <w:left w:val="none" w:sz="0" w:space="0" w:color="auto"/>
            <w:bottom w:val="none" w:sz="0" w:space="0" w:color="auto"/>
            <w:right w:val="none" w:sz="0" w:space="0" w:color="auto"/>
          </w:divBdr>
          <w:divsChild>
            <w:div w:id="23405575">
              <w:marLeft w:val="0"/>
              <w:marRight w:val="0"/>
              <w:marTop w:val="0"/>
              <w:marBottom w:val="0"/>
              <w:divBdr>
                <w:top w:val="none" w:sz="0" w:space="0" w:color="auto"/>
                <w:left w:val="none" w:sz="0" w:space="0" w:color="auto"/>
                <w:bottom w:val="none" w:sz="0" w:space="0" w:color="auto"/>
                <w:right w:val="none" w:sz="0" w:space="0" w:color="auto"/>
              </w:divBdr>
              <w:divsChild>
                <w:div w:id="3138003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685471106">
      <w:bodyDiv w:val="1"/>
      <w:marLeft w:val="0"/>
      <w:marRight w:val="0"/>
      <w:marTop w:val="0"/>
      <w:marBottom w:val="0"/>
      <w:divBdr>
        <w:top w:val="none" w:sz="0" w:space="0" w:color="auto"/>
        <w:left w:val="none" w:sz="0" w:space="0" w:color="auto"/>
        <w:bottom w:val="none" w:sz="0" w:space="0" w:color="auto"/>
        <w:right w:val="none" w:sz="0" w:space="0" w:color="auto"/>
      </w:divBdr>
      <w:divsChild>
        <w:div w:id="1314408018">
          <w:marLeft w:val="432"/>
          <w:marRight w:val="0"/>
          <w:marTop w:val="0"/>
          <w:marBottom w:val="0"/>
          <w:divBdr>
            <w:top w:val="none" w:sz="0" w:space="0" w:color="auto"/>
            <w:left w:val="none" w:sz="0" w:space="0" w:color="auto"/>
            <w:bottom w:val="none" w:sz="0" w:space="0" w:color="auto"/>
            <w:right w:val="none" w:sz="0" w:space="0" w:color="auto"/>
          </w:divBdr>
        </w:div>
        <w:div w:id="11809221">
          <w:marLeft w:val="907"/>
          <w:marRight w:val="0"/>
          <w:marTop w:val="0"/>
          <w:marBottom w:val="0"/>
          <w:divBdr>
            <w:top w:val="none" w:sz="0" w:space="0" w:color="auto"/>
            <w:left w:val="none" w:sz="0" w:space="0" w:color="auto"/>
            <w:bottom w:val="none" w:sz="0" w:space="0" w:color="auto"/>
            <w:right w:val="none" w:sz="0" w:space="0" w:color="auto"/>
          </w:divBdr>
        </w:div>
        <w:div w:id="1776899571">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epa.gov/drink/info/well/index.cfm" TargetMode="External"/><Relationship Id="rId13" Type="http://schemas.openxmlformats.org/officeDocument/2006/relationships/hyperlink" Target="http://www.usawaterquality.org/themes/health/default.html" TargetMode="External"/><Relationship Id="rId3" Type="http://schemas.openxmlformats.org/officeDocument/2006/relationships/styles" Target="styles.xml"/><Relationship Id="rId7" Type="http://schemas.openxmlformats.org/officeDocument/2006/relationships/hyperlink" Target="http://www.cdc.gov/healthywater/drinking/private/wells/" TargetMode="External"/><Relationship Id="rId12" Type="http://schemas.openxmlformats.org/officeDocument/2006/relationships/hyperlink" Target="https://erams.com/wqtoo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ter.epa.gov/scitech/drinkingwater/labcert/statecertification.cfm" TargetMode="External"/><Relationship Id="rId5" Type="http://schemas.openxmlformats.org/officeDocument/2006/relationships/settings" Target="settings.xml"/><Relationship Id="rId15" Type="http://schemas.openxmlformats.org/officeDocument/2006/relationships/hyperlink" Target="http://www.rurdev.usda.gov/MO-fact504.html" TargetMode="External"/><Relationship Id="rId10" Type="http://schemas.openxmlformats.org/officeDocument/2006/relationships/hyperlink" Target="http://water.epa.gov/drink/info/well/whereyoulive_state.cfm" TargetMode="External"/><Relationship Id="rId4" Type="http://schemas.microsoft.com/office/2007/relationships/stylesWithEffects" Target="stylesWithEffects.xml"/><Relationship Id="rId9" Type="http://schemas.openxmlformats.org/officeDocument/2006/relationships/hyperlink" Target="http://cfpub.epa.gov/surf/locate/index.cfm" TargetMode="External"/><Relationship Id="rId14" Type="http://schemas.openxmlformats.org/officeDocument/2006/relationships/hyperlink" Target="http://www.rurdev.usda.gov/MO-fact504.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FF2A0-166C-4251-B055-C008DEAB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Kaitlin</dc:creator>
  <cp:lastModifiedBy>Murphy, Kaitlin</cp:lastModifiedBy>
  <cp:revision>6</cp:revision>
  <dcterms:created xsi:type="dcterms:W3CDTF">2015-01-06T16:17:00Z</dcterms:created>
  <dcterms:modified xsi:type="dcterms:W3CDTF">2015-02-20T20:50:00Z</dcterms:modified>
</cp:coreProperties>
</file>