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D8" w:rsidRDefault="00454DD8" w:rsidP="00270364">
      <w:pPr>
        <w:spacing w:after="0" w:line="240" w:lineRule="auto"/>
        <w:rPr>
          <w:rFonts w:asciiTheme="minorHAnsi" w:hAnsiTheme="minorHAnsi" w:cstheme="minorHAnsi"/>
          <w:sz w:val="24"/>
          <w:szCs w:val="24"/>
        </w:rPr>
      </w:pPr>
    </w:p>
    <w:tbl>
      <w:tblPr>
        <w:tblStyle w:val="MediumGrid3-Accent5"/>
        <w:tblpPr w:leftFromText="180" w:rightFromText="180" w:vertAnchor="page" w:horzAnchor="margin" w:tblpX="-653" w:tblpY="1237"/>
        <w:tblW w:w="1503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28"/>
        <w:gridCol w:w="2149"/>
        <w:gridCol w:w="2520"/>
        <w:gridCol w:w="8933"/>
      </w:tblGrid>
      <w:tr w:rsidR="00454DD8" w:rsidRPr="000D34ED" w:rsidTr="000D34E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28" w:type="dxa"/>
            <w:tcBorders>
              <w:top w:val="single" w:sz="18" w:space="0" w:color="auto"/>
              <w:left w:val="none" w:sz="0" w:space="0" w:color="auto"/>
              <w:bottom w:val="single" w:sz="18" w:space="0" w:color="auto"/>
              <w:right w:val="none" w:sz="0" w:space="0" w:color="auto"/>
            </w:tcBorders>
            <w:shd w:val="clear" w:color="auto" w:fill="auto"/>
          </w:tcPr>
          <w:p w:rsidR="00454DD8" w:rsidRPr="000D34ED" w:rsidRDefault="00454DD8" w:rsidP="000D34ED">
            <w:pPr>
              <w:pStyle w:val="Default"/>
              <w:rPr>
                <w:rFonts w:asciiTheme="minorHAnsi" w:eastAsiaTheme="minorEastAsia" w:hAnsiTheme="minorHAnsi" w:cstheme="minorHAnsi"/>
                <w:color w:val="auto"/>
              </w:rPr>
            </w:pPr>
          </w:p>
        </w:tc>
        <w:tc>
          <w:tcPr>
            <w:tcW w:w="2149" w:type="dxa"/>
            <w:tcBorders>
              <w:top w:val="single" w:sz="18" w:space="0" w:color="auto"/>
              <w:left w:val="none" w:sz="0" w:space="0" w:color="auto"/>
              <w:bottom w:val="single" w:sz="18" w:space="0" w:color="auto"/>
              <w:right w:val="none" w:sz="0" w:space="0" w:color="auto"/>
            </w:tcBorders>
            <w:shd w:val="clear" w:color="auto" w:fill="95B3D7" w:themeFill="accent1" w:themeFillTint="99"/>
          </w:tcPr>
          <w:p w:rsidR="00454DD8" w:rsidRPr="000D34ED" w:rsidRDefault="00454DD8" w:rsidP="000D34ED">
            <w:pPr>
              <w:pStyle w:val="Default"/>
              <w:tabs>
                <w:tab w:val="left" w:pos="1272"/>
              </w:tabs>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mallCaps/>
                <w:color w:val="auto"/>
                <w:spacing w:val="30"/>
              </w:rPr>
            </w:pPr>
            <w:r w:rsidRPr="000D34ED">
              <w:rPr>
                <w:rFonts w:asciiTheme="minorHAnsi" w:eastAsiaTheme="minorEastAsia" w:hAnsiTheme="minorHAnsi" w:cstheme="minorHAnsi"/>
                <w:smallCaps/>
                <w:color w:val="auto"/>
                <w:spacing w:val="30"/>
              </w:rPr>
              <w:t>Broad</w:t>
            </w:r>
          </w:p>
        </w:tc>
        <w:tc>
          <w:tcPr>
            <w:tcW w:w="2520" w:type="dxa"/>
            <w:tcBorders>
              <w:top w:val="single" w:sz="18" w:space="0" w:color="auto"/>
              <w:left w:val="none" w:sz="0" w:space="0" w:color="auto"/>
              <w:bottom w:val="single" w:sz="18" w:space="0" w:color="auto"/>
              <w:right w:val="none" w:sz="0" w:space="0" w:color="auto"/>
            </w:tcBorders>
            <w:shd w:val="clear" w:color="auto" w:fill="B8CCE4" w:themeFill="accent1" w:themeFillTint="66"/>
          </w:tcPr>
          <w:p w:rsidR="00454DD8" w:rsidRPr="000D34ED" w:rsidRDefault="00454DD8" w:rsidP="000D34E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mallCaps/>
                <w:color w:val="auto"/>
                <w:spacing w:val="26"/>
              </w:rPr>
            </w:pPr>
            <w:r w:rsidRPr="000D34ED">
              <w:rPr>
                <w:rFonts w:asciiTheme="minorHAnsi" w:eastAsiaTheme="minorEastAsia" w:hAnsiTheme="minorHAnsi" w:cstheme="minorHAnsi"/>
                <w:smallCaps/>
                <w:color w:val="auto"/>
                <w:spacing w:val="26"/>
              </w:rPr>
              <w:t>Less Broad</w:t>
            </w:r>
          </w:p>
        </w:tc>
        <w:tc>
          <w:tcPr>
            <w:tcW w:w="8933" w:type="dxa"/>
            <w:tcBorders>
              <w:top w:val="single" w:sz="18" w:space="0" w:color="auto"/>
              <w:left w:val="none" w:sz="0" w:space="0" w:color="auto"/>
              <w:bottom w:val="single" w:sz="18" w:space="0" w:color="auto"/>
              <w:right w:val="none" w:sz="0" w:space="0" w:color="auto"/>
            </w:tcBorders>
            <w:shd w:val="clear" w:color="auto" w:fill="DBE5F1" w:themeFill="accent1" w:themeFillTint="33"/>
          </w:tcPr>
          <w:p w:rsidR="00454DD8" w:rsidRPr="000D34ED" w:rsidRDefault="00454DD8" w:rsidP="000D34E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mallCaps/>
                <w:color w:val="auto"/>
                <w:spacing w:val="26"/>
              </w:rPr>
            </w:pPr>
            <w:r w:rsidRPr="000D34ED">
              <w:rPr>
                <w:rFonts w:asciiTheme="minorHAnsi" w:eastAsiaTheme="minorEastAsia" w:hAnsiTheme="minorHAnsi" w:cstheme="minorHAnsi"/>
                <w:smallCaps/>
                <w:color w:val="auto"/>
                <w:spacing w:val="26"/>
              </w:rPr>
              <w:t>Narrow</w:t>
            </w:r>
          </w:p>
        </w:tc>
      </w:tr>
      <w:tr w:rsidR="00454DD8" w:rsidRPr="000D34ED" w:rsidTr="000D34E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428" w:type="dxa"/>
            <w:tcBorders>
              <w:top w:val="single" w:sz="18" w:space="0" w:color="auto"/>
              <w:left w:val="none" w:sz="0" w:space="0" w:color="auto"/>
              <w:bottom w:val="single" w:sz="8" w:space="0" w:color="auto"/>
              <w:right w:val="none" w:sz="0" w:space="0" w:color="auto"/>
            </w:tcBorders>
            <w:shd w:val="clear" w:color="auto" w:fill="auto"/>
          </w:tcPr>
          <w:p w:rsidR="00454DD8" w:rsidRPr="000D34ED" w:rsidRDefault="00454DD8" w:rsidP="000D34ED">
            <w:pPr>
              <w:pStyle w:val="Default"/>
              <w:rPr>
                <w:rFonts w:asciiTheme="minorHAnsi" w:eastAsiaTheme="minorEastAsia" w:hAnsiTheme="minorHAnsi" w:cstheme="minorHAnsi"/>
                <w:color w:val="auto"/>
              </w:rPr>
            </w:pPr>
          </w:p>
        </w:tc>
        <w:tc>
          <w:tcPr>
            <w:tcW w:w="2149" w:type="dxa"/>
            <w:tcBorders>
              <w:top w:val="single" w:sz="18" w:space="0" w:color="auto"/>
              <w:left w:val="none" w:sz="0" w:space="0" w:color="auto"/>
              <w:bottom w:val="single" w:sz="8" w:space="0" w:color="auto"/>
              <w:right w:val="none" w:sz="0" w:space="0" w:color="auto"/>
            </w:tcBorders>
            <w:shd w:val="clear" w:color="auto" w:fill="C2D69B" w:themeFill="accent3" w:themeFillTint="99"/>
          </w:tcPr>
          <w:p w:rsidR="00454DD8" w:rsidRPr="000D34ED" w:rsidRDefault="00454DD8" w:rsidP="000D34E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0D34ED">
              <w:rPr>
                <w:rFonts w:asciiTheme="minorHAnsi" w:eastAsiaTheme="minorEastAsia" w:hAnsiTheme="minorHAnsi" w:cstheme="minorHAnsi"/>
                <w:b/>
                <w:color w:val="auto"/>
              </w:rPr>
              <w:t>Course Goal</w:t>
            </w:r>
          </w:p>
        </w:tc>
        <w:tc>
          <w:tcPr>
            <w:tcW w:w="2520" w:type="dxa"/>
            <w:tcBorders>
              <w:top w:val="single" w:sz="18" w:space="0" w:color="auto"/>
              <w:left w:val="none" w:sz="0" w:space="0" w:color="auto"/>
              <w:bottom w:val="single" w:sz="8" w:space="0" w:color="auto"/>
              <w:right w:val="none" w:sz="0" w:space="0" w:color="auto"/>
            </w:tcBorders>
            <w:shd w:val="clear" w:color="auto" w:fill="D6E3BC" w:themeFill="accent3" w:themeFillTint="66"/>
          </w:tcPr>
          <w:p w:rsidR="00454DD8" w:rsidRPr="000D34ED" w:rsidRDefault="00454DD8" w:rsidP="000D34E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0D34ED">
              <w:rPr>
                <w:rFonts w:asciiTheme="minorHAnsi" w:eastAsiaTheme="minorEastAsia" w:hAnsiTheme="minorHAnsi" w:cstheme="minorHAnsi"/>
                <w:b/>
                <w:color w:val="auto"/>
                <w:shd w:val="clear" w:color="auto" w:fill="D6E3BC" w:themeFill="accent3" w:themeFillTint="66"/>
              </w:rPr>
              <w:t>Student Learning Outcomes (SLOs</w:t>
            </w:r>
            <w:r w:rsidRPr="000D34ED">
              <w:rPr>
                <w:rFonts w:asciiTheme="minorHAnsi" w:eastAsiaTheme="minorEastAsia" w:hAnsiTheme="minorHAnsi" w:cstheme="minorHAnsi"/>
                <w:b/>
                <w:color w:val="auto"/>
              </w:rPr>
              <w:t>)</w:t>
            </w:r>
          </w:p>
        </w:tc>
        <w:tc>
          <w:tcPr>
            <w:tcW w:w="8933" w:type="dxa"/>
            <w:tcBorders>
              <w:top w:val="single" w:sz="18" w:space="0" w:color="auto"/>
              <w:left w:val="none" w:sz="0" w:space="0" w:color="auto"/>
              <w:bottom w:val="single" w:sz="8" w:space="0" w:color="auto"/>
              <w:right w:val="none" w:sz="0" w:space="0" w:color="auto"/>
            </w:tcBorders>
            <w:shd w:val="clear" w:color="auto" w:fill="EAF1DD" w:themeFill="accent3" w:themeFillTint="33"/>
          </w:tcPr>
          <w:p w:rsidR="00454DD8" w:rsidRPr="000D34ED" w:rsidRDefault="00454DD8" w:rsidP="000D34E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0D34ED">
              <w:rPr>
                <w:rFonts w:asciiTheme="minorHAnsi" w:eastAsiaTheme="minorEastAsia" w:hAnsiTheme="minorHAnsi" w:cstheme="minorHAnsi"/>
                <w:b/>
                <w:color w:val="auto"/>
              </w:rPr>
              <w:t>Learning Objectives</w:t>
            </w:r>
          </w:p>
        </w:tc>
      </w:tr>
      <w:tr w:rsidR="00CE1680" w:rsidRPr="000D34ED" w:rsidTr="000D34ED">
        <w:trPr>
          <w:trHeight w:val="1060"/>
        </w:trPr>
        <w:tc>
          <w:tcPr>
            <w:cnfStyle w:val="001000000000" w:firstRow="0" w:lastRow="0" w:firstColumn="1" w:lastColumn="0" w:oddVBand="0" w:evenVBand="0" w:oddHBand="0" w:evenHBand="0" w:firstRowFirstColumn="0" w:firstRowLastColumn="0" w:lastRowFirstColumn="0" w:lastRowLastColumn="0"/>
            <w:tcW w:w="1428" w:type="dxa"/>
            <w:tcBorders>
              <w:top w:val="single" w:sz="8" w:space="0" w:color="auto"/>
              <w:left w:val="single" w:sz="18" w:space="0" w:color="auto"/>
            </w:tcBorders>
            <w:shd w:val="clear" w:color="auto" w:fill="auto"/>
          </w:tcPr>
          <w:p w:rsidR="00CE1680" w:rsidRPr="000D34ED" w:rsidRDefault="00CE1680" w:rsidP="000D34ED">
            <w:pPr>
              <w:pStyle w:val="Default"/>
              <w:rPr>
                <w:rFonts w:asciiTheme="minorHAnsi" w:hAnsiTheme="minorHAnsi" w:cstheme="minorHAnsi"/>
                <w:bCs w:val="0"/>
                <w:color w:val="auto"/>
              </w:rPr>
            </w:pPr>
            <w:r w:rsidRPr="000D34ED">
              <w:rPr>
                <w:rFonts w:asciiTheme="minorHAnsi" w:hAnsiTheme="minorHAnsi" w:cstheme="minorHAnsi"/>
                <w:bCs w:val="0"/>
                <w:color w:val="auto"/>
              </w:rPr>
              <w:t>Healthy Homes for Code Inspection</w:t>
            </w:r>
          </w:p>
          <w:p w:rsidR="00CE1680" w:rsidRPr="000D34ED" w:rsidRDefault="00CE1680" w:rsidP="000D34ED">
            <w:pPr>
              <w:pStyle w:val="Default"/>
              <w:rPr>
                <w:rFonts w:asciiTheme="minorHAnsi" w:eastAsiaTheme="minorEastAsia" w:hAnsiTheme="minorHAnsi" w:cstheme="minorHAnsi"/>
                <w:color w:val="auto"/>
              </w:rPr>
            </w:pPr>
          </w:p>
        </w:tc>
        <w:tc>
          <w:tcPr>
            <w:tcW w:w="2149" w:type="dxa"/>
            <w:tcBorders>
              <w:top w:val="single" w:sz="8" w:space="0" w:color="auto"/>
              <w:bottom w:val="single" w:sz="18" w:space="0" w:color="auto"/>
            </w:tcBorders>
            <w:shd w:val="clear" w:color="auto" w:fill="C2D69B" w:themeFill="accent3" w:themeFillTint="99"/>
          </w:tcPr>
          <w:p w:rsidR="00CE1680" w:rsidRPr="000D34ED" w:rsidRDefault="00CE1680" w:rsidP="000D34ED">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Cs/>
                <w:color w:val="auto"/>
              </w:rPr>
            </w:pPr>
            <w:r w:rsidRPr="000D34ED">
              <w:rPr>
                <w:rFonts w:asciiTheme="minorHAnsi" w:hAnsiTheme="minorHAnsi" w:cstheme="minorHAnsi"/>
                <w:bCs/>
                <w:color w:val="auto"/>
              </w:rPr>
              <w:t>T</w:t>
            </w:r>
            <w:r w:rsidR="00111F17" w:rsidRPr="000D34ED">
              <w:rPr>
                <w:rFonts w:asciiTheme="minorHAnsi" w:hAnsiTheme="minorHAnsi" w:cstheme="minorHAnsi"/>
                <w:bCs/>
                <w:color w:val="auto"/>
              </w:rPr>
              <w:t>he goal of this course is to [</w:t>
            </w:r>
            <w:r w:rsidR="00111F17" w:rsidRPr="000D34ED">
              <w:rPr>
                <w:rFonts w:asciiTheme="minorHAnsi" w:hAnsiTheme="minorHAnsi" w:cstheme="minorHAnsi"/>
                <w:bCs/>
                <w:i/>
                <w:color w:val="auto"/>
              </w:rPr>
              <w:t>provide code inspectors with the knowledge and skills to incorporate healthy homes into their work</w:t>
            </w:r>
            <w:r w:rsidR="00111F17" w:rsidRPr="000D34ED">
              <w:rPr>
                <w:rFonts w:asciiTheme="minorHAnsi" w:hAnsiTheme="minorHAnsi" w:cstheme="minorHAnsi"/>
                <w:bCs/>
                <w:color w:val="auto"/>
              </w:rPr>
              <w:t>.]</w:t>
            </w:r>
          </w:p>
        </w:tc>
        <w:tc>
          <w:tcPr>
            <w:tcW w:w="2520" w:type="dxa"/>
            <w:tcBorders>
              <w:top w:val="single" w:sz="8" w:space="0" w:color="auto"/>
              <w:bottom w:val="single" w:sz="18" w:space="0" w:color="auto"/>
            </w:tcBorders>
            <w:shd w:val="clear" w:color="auto" w:fill="D6E3BC" w:themeFill="accent3" w:themeFillTint="66"/>
          </w:tcPr>
          <w:p w:rsidR="00CE1680" w:rsidRPr="000D34ED" w:rsidRDefault="00CE1680" w:rsidP="000D34E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At the end of this c</w:t>
            </w:r>
            <w:r w:rsidR="009B34E8" w:rsidRPr="000D34ED">
              <w:rPr>
                <w:rFonts w:asciiTheme="minorHAnsi" w:hAnsiTheme="minorHAnsi" w:cstheme="minorHAnsi"/>
                <w:bCs/>
                <w:color w:val="auto"/>
              </w:rPr>
              <w:t xml:space="preserve">ourse, a student will evaluate his or her jurisdiction’s code inspection program and his or her code inspection practice. The student will identify changes that can be made to the jurisdiction’s program and to his or her practice to support healthier homes. </w:t>
            </w:r>
          </w:p>
          <w:p w:rsidR="00CE1680" w:rsidRPr="000D34ED" w:rsidRDefault="00CE1680" w:rsidP="000D34E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933" w:type="dxa"/>
            <w:tcBorders>
              <w:top w:val="single" w:sz="8" w:space="0" w:color="auto"/>
              <w:bottom w:val="single" w:sz="18" w:space="0" w:color="auto"/>
            </w:tcBorders>
            <w:shd w:val="clear" w:color="auto" w:fill="EAF1DD" w:themeFill="accent3" w:themeFillTint="33"/>
          </w:tcPr>
          <w:p w:rsidR="0080129A" w:rsidRPr="000D34ED" w:rsidRDefault="0080129A" w:rsidP="000D34E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D34ED">
              <w:rPr>
                <w:rFonts w:asciiTheme="minorHAnsi" w:hAnsiTheme="minorHAnsi" w:cstheme="minorHAnsi"/>
                <w:b/>
                <w:color w:val="auto"/>
              </w:rPr>
              <w:t>Holistic approach</w:t>
            </w:r>
            <w:r w:rsidRPr="000D34ED">
              <w:rPr>
                <w:rFonts w:asciiTheme="minorHAnsi" w:hAnsiTheme="minorHAnsi" w:cstheme="minorHAnsi"/>
                <w:color w:val="auto"/>
              </w:rPr>
              <w:t xml:space="preserve"> [slides 1-17]</w:t>
            </w:r>
          </w:p>
          <w:p w:rsidR="00CE1680" w:rsidRPr="000D34ED" w:rsidRDefault="00CE1680"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D34ED">
              <w:rPr>
                <w:rFonts w:asciiTheme="minorHAnsi" w:hAnsiTheme="minorHAnsi" w:cstheme="minorHAnsi"/>
                <w:bCs/>
                <w:color w:val="auto"/>
              </w:rPr>
              <w:t>Describe</w:t>
            </w:r>
            <w:r w:rsidRPr="000D34ED">
              <w:rPr>
                <w:rFonts w:asciiTheme="minorHAnsi" w:hAnsiTheme="minorHAnsi" w:cstheme="minorHAnsi"/>
                <w:color w:val="auto"/>
              </w:rPr>
              <w:t xml:space="preserve"> the importance of a holistic code inspection to identify hazards </w:t>
            </w:r>
          </w:p>
          <w:p w:rsidR="00045298" w:rsidRPr="000D34ED" w:rsidRDefault="00045298"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D34ED">
              <w:rPr>
                <w:rFonts w:asciiTheme="minorHAnsi" w:hAnsiTheme="minorHAnsi" w:cstheme="minorHAnsi"/>
                <w:b/>
                <w:color w:val="auto"/>
              </w:rPr>
              <w:t>Intro to healthy housing and codes</w:t>
            </w:r>
            <w:r w:rsidRPr="000D34ED">
              <w:rPr>
                <w:rFonts w:asciiTheme="minorHAnsi" w:hAnsiTheme="minorHAnsi" w:cstheme="minorHAnsi"/>
                <w:color w:val="auto"/>
              </w:rPr>
              <w:t xml:space="preserve"> [slides 18 – 22]</w:t>
            </w:r>
          </w:p>
          <w:p w:rsidR="00CE1680" w:rsidRPr="000D34ED" w:rsidRDefault="00CE1680"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D34ED">
              <w:rPr>
                <w:rFonts w:asciiTheme="minorHAnsi" w:hAnsiTheme="minorHAnsi" w:cstheme="minorHAnsi"/>
                <w:bCs/>
                <w:color w:val="auto"/>
              </w:rPr>
              <w:t>Identify three types of codes that can be used to address health concerns</w:t>
            </w:r>
          </w:p>
          <w:p w:rsidR="00013E5C" w:rsidRPr="000D34ED" w:rsidRDefault="00013E5C"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
                <w:bCs/>
                <w:color w:val="auto"/>
              </w:rPr>
              <w:t>Extent of HH problems</w:t>
            </w:r>
            <w:r w:rsidRPr="000D34ED">
              <w:rPr>
                <w:rFonts w:asciiTheme="minorHAnsi" w:hAnsiTheme="minorHAnsi" w:cstheme="minorHAnsi"/>
                <w:bCs/>
                <w:color w:val="auto"/>
              </w:rPr>
              <w:t xml:space="preserve"> [slides 23-24]</w:t>
            </w:r>
          </w:p>
          <w:p w:rsidR="00013E5C" w:rsidRPr="000D34ED" w:rsidRDefault="00013E5C"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Identify the extent of exterior physical problems for housing in the United States</w:t>
            </w:r>
          </w:p>
          <w:p w:rsidR="00013E5C" w:rsidRPr="000D34ED" w:rsidRDefault="00013E5C"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
                <w:bCs/>
                <w:color w:val="auto"/>
              </w:rPr>
              <w:t>Keep it Dry</w:t>
            </w:r>
            <w:r w:rsidR="002329A8" w:rsidRPr="000D34ED">
              <w:rPr>
                <w:rFonts w:asciiTheme="minorHAnsi" w:hAnsiTheme="minorHAnsi" w:cstheme="minorHAnsi"/>
                <w:bCs/>
                <w:color w:val="auto"/>
              </w:rPr>
              <w:t xml:space="preserve"> [slides 25-34]</w:t>
            </w:r>
          </w:p>
          <w:p w:rsidR="002329A8" w:rsidRPr="000D34ED" w:rsidRDefault="002329A8"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Identify the IPMC requirements related to moisture</w:t>
            </w:r>
          </w:p>
          <w:p w:rsidR="00013E5C" w:rsidRPr="000D34ED" w:rsidRDefault="002329A8"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
                <w:bCs/>
                <w:color w:val="auto"/>
              </w:rPr>
              <w:t>Keep it Clean</w:t>
            </w:r>
            <w:r w:rsidRPr="000D34ED">
              <w:rPr>
                <w:rFonts w:asciiTheme="minorHAnsi" w:hAnsiTheme="minorHAnsi" w:cstheme="minorHAnsi"/>
                <w:bCs/>
                <w:color w:val="auto"/>
              </w:rPr>
              <w:t xml:space="preserve"> [slides 35-38]</w:t>
            </w:r>
          </w:p>
          <w:p w:rsidR="002329A8" w:rsidRPr="000D34ED" w:rsidRDefault="002329A8"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Identify the IPMC requirements related to cleanliness</w:t>
            </w:r>
          </w:p>
          <w:p w:rsidR="00013E5C" w:rsidRPr="000D34ED" w:rsidRDefault="002329A8"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
                <w:bCs/>
                <w:color w:val="auto"/>
              </w:rPr>
              <w:t>Keep it Pest-free</w:t>
            </w:r>
            <w:r w:rsidRPr="000D34ED">
              <w:rPr>
                <w:rFonts w:asciiTheme="minorHAnsi" w:hAnsiTheme="minorHAnsi" w:cstheme="minorHAnsi"/>
                <w:bCs/>
                <w:color w:val="auto"/>
              </w:rPr>
              <w:t xml:space="preserve"> [slides 39-46]</w:t>
            </w:r>
          </w:p>
          <w:p w:rsidR="002329A8" w:rsidRPr="000D34ED" w:rsidRDefault="002329A8"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Identify the IPMC requirements related to pests</w:t>
            </w:r>
          </w:p>
          <w:p w:rsidR="002329A8" w:rsidRPr="000D34ED" w:rsidRDefault="002329A8"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
                <w:bCs/>
                <w:color w:val="auto"/>
              </w:rPr>
              <w:t>Keep it Ventilated</w:t>
            </w:r>
            <w:r w:rsidRPr="000D34ED">
              <w:rPr>
                <w:rFonts w:asciiTheme="minorHAnsi" w:hAnsiTheme="minorHAnsi" w:cstheme="minorHAnsi"/>
                <w:bCs/>
                <w:color w:val="auto"/>
              </w:rPr>
              <w:t xml:space="preserve"> [slides 47-56]</w:t>
            </w:r>
          </w:p>
          <w:p w:rsidR="002329A8" w:rsidRPr="000D34ED" w:rsidRDefault="002329A8"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Identify the IPMC requirements related to ventilation</w:t>
            </w:r>
          </w:p>
          <w:p w:rsidR="002329A8" w:rsidRPr="000D34ED" w:rsidRDefault="002329A8"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
                <w:bCs/>
                <w:color w:val="auto"/>
              </w:rPr>
              <w:t>Other Healthy Homes issues</w:t>
            </w:r>
            <w:r w:rsidRPr="000D34ED">
              <w:rPr>
                <w:rFonts w:asciiTheme="minorHAnsi" w:hAnsiTheme="minorHAnsi" w:cstheme="minorHAnsi"/>
                <w:bCs/>
                <w:color w:val="auto"/>
              </w:rPr>
              <w:t xml:space="preserve"> (lead paint, asbestos, CO and radon)[slides 57-75]</w:t>
            </w:r>
          </w:p>
          <w:p w:rsidR="002329A8" w:rsidRPr="000D34ED" w:rsidRDefault="002329A8"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Identify what code inspectors can do related to these issues</w:t>
            </w:r>
          </w:p>
          <w:p w:rsidR="00013E5C" w:rsidRPr="000D34ED" w:rsidRDefault="002329A8" w:rsidP="000D34ED">
            <w:pPr>
              <w:pStyle w:val="Default"/>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D34ED">
              <w:rPr>
                <w:rFonts w:asciiTheme="minorHAnsi" w:hAnsiTheme="minorHAnsi" w:cstheme="minorHAnsi"/>
                <w:b/>
                <w:color w:val="auto"/>
              </w:rPr>
              <w:t>Landlord – Tenant Laws and Issues</w:t>
            </w:r>
            <w:r w:rsidR="000D34ED">
              <w:rPr>
                <w:rFonts w:asciiTheme="minorHAnsi" w:hAnsiTheme="minorHAnsi" w:cstheme="minorHAnsi"/>
                <w:color w:val="auto"/>
              </w:rPr>
              <w:t xml:space="preserve"> [slides 76-88]</w:t>
            </w:r>
            <w:bookmarkStart w:id="0" w:name="_GoBack"/>
            <w:bookmarkEnd w:id="0"/>
          </w:p>
          <w:p w:rsidR="00CE1680" w:rsidRPr="000D34ED" w:rsidRDefault="00CE1680" w:rsidP="000D34ED">
            <w:pPr>
              <w:pStyle w:val="Default"/>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rPr>
            </w:pPr>
            <w:r w:rsidRPr="000D34ED">
              <w:rPr>
                <w:rFonts w:asciiTheme="minorHAnsi" w:hAnsiTheme="minorHAnsi" w:cstheme="minorHAnsi"/>
                <w:bCs/>
                <w:color w:val="auto"/>
              </w:rPr>
              <w:t>Describe the legal aid referral process and how to refer clients to other agencies for assistance and resources</w:t>
            </w:r>
          </w:p>
          <w:p w:rsidR="0080129A" w:rsidRPr="000D34ED" w:rsidRDefault="009B34E8" w:rsidP="000D34E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D34ED">
              <w:rPr>
                <w:rFonts w:cstheme="minorHAnsi"/>
                <w:sz w:val="24"/>
                <w:szCs w:val="24"/>
              </w:rPr>
              <w:t>Recognize</w:t>
            </w:r>
            <w:r w:rsidRPr="000D34ED">
              <w:rPr>
                <w:rFonts w:cstheme="minorHAnsi"/>
                <w:bCs/>
                <w:sz w:val="24"/>
                <w:szCs w:val="24"/>
              </w:rPr>
              <w:t xml:space="preserve"> that </w:t>
            </w:r>
            <w:r w:rsidRPr="000D34ED">
              <w:rPr>
                <w:rFonts w:cstheme="minorHAnsi"/>
                <w:sz w:val="24"/>
                <w:szCs w:val="24"/>
              </w:rPr>
              <w:t>an</w:t>
            </w:r>
            <w:r w:rsidRPr="000D34ED">
              <w:rPr>
                <w:rFonts w:cstheme="minorHAnsi"/>
                <w:bCs/>
                <w:sz w:val="24"/>
                <w:szCs w:val="24"/>
              </w:rPr>
              <w:t xml:space="preserve"> occupant may not have complete control over their housing situation and hazards in the house may be due to factors other than the occupant’s behavior.</w:t>
            </w:r>
          </w:p>
          <w:p w:rsidR="00CE1680" w:rsidRPr="000D34ED" w:rsidRDefault="009B34E8" w:rsidP="000D34E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D34ED">
              <w:rPr>
                <w:rFonts w:cstheme="minorHAnsi"/>
                <w:sz w:val="24"/>
                <w:szCs w:val="24"/>
              </w:rPr>
              <w:t>Recognize</w:t>
            </w:r>
            <w:r w:rsidRPr="000D34ED">
              <w:rPr>
                <w:rFonts w:cstheme="minorHAnsi"/>
                <w:bCs/>
                <w:sz w:val="24"/>
                <w:szCs w:val="24"/>
              </w:rPr>
              <w:t xml:space="preserve"> that </w:t>
            </w:r>
            <w:r w:rsidRPr="000D34ED">
              <w:rPr>
                <w:rFonts w:cstheme="minorHAnsi"/>
                <w:sz w:val="24"/>
                <w:szCs w:val="24"/>
              </w:rPr>
              <w:t>a</w:t>
            </w:r>
            <w:r w:rsidRPr="000D34ED">
              <w:rPr>
                <w:rFonts w:cstheme="minorHAnsi"/>
                <w:bCs/>
                <w:sz w:val="24"/>
                <w:szCs w:val="24"/>
              </w:rPr>
              <w:t xml:space="preserve"> landlord’s ci</w:t>
            </w:r>
            <w:r w:rsidRPr="000D34ED">
              <w:rPr>
                <w:rFonts w:cstheme="minorHAnsi"/>
                <w:sz w:val="24"/>
                <w:szCs w:val="24"/>
              </w:rPr>
              <w:t>rcumstances</w:t>
            </w:r>
            <w:r w:rsidRPr="000D34ED">
              <w:rPr>
                <w:rFonts w:cstheme="minorHAnsi"/>
                <w:bCs/>
                <w:sz w:val="24"/>
                <w:szCs w:val="24"/>
              </w:rPr>
              <w:t xml:space="preserve"> may have an impact on his/her ability to abate a hazardous condition.</w:t>
            </w:r>
          </w:p>
        </w:tc>
      </w:tr>
    </w:tbl>
    <w:p w:rsidR="00F17EEB" w:rsidRPr="00C211A8" w:rsidRDefault="00F17EEB" w:rsidP="00270364">
      <w:pPr>
        <w:spacing w:after="0" w:line="240" w:lineRule="auto"/>
        <w:rPr>
          <w:rFonts w:asciiTheme="minorHAnsi" w:hAnsiTheme="minorHAnsi" w:cstheme="minorHAnsi"/>
          <w:sz w:val="24"/>
          <w:szCs w:val="24"/>
        </w:rPr>
      </w:pPr>
    </w:p>
    <w:sectPr w:rsidR="00F17EEB" w:rsidRPr="00C211A8" w:rsidSect="001C32AC">
      <w:pgSz w:w="15840" w:h="12240" w:orient="landscape"/>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AC" w:rsidRPr="008252CF" w:rsidRDefault="001C32AC" w:rsidP="008252CF">
      <w:pPr>
        <w:spacing w:after="0" w:line="240" w:lineRule="auto"/>
      </w:pPr>
      <w:r>
        <w:separator/>
      </w:r>
    </w:p>
  </w:endnote>
  <w:endnote w:type="continuationSeparator" w:id="0">
    <w:p w:rsidR="001C32AC" w:rsidRPr="008252CF" w:rsidRDefault="001C32AC" w:rsidP="0082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AC" w:rsidRPr="008252CF" w:rsidRDefault="001C32AC" w:rsidP="008252CF">
      <w:pPr>
        <w:spacing w:after="0" w:line="240" w:lineRule="auto"/>
      </w:pPr>
      <w:r>
        <w:separator/>
      </w:r>
    </w:p>
  </w:footnote>
  <w:footnote w:type="continuationSeparator" w:id="0">
    <w:p w:rsidR="001C32AC" w:rsidRPr="008252CF" w:rsidRDefault="001C32AC" w:rsidP="00825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008"/>
    <w:multiLevelType w:val="hybridMultilevel"/>
    <w:tmpl w:val="36A2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E09DA"/>
    <w:multiLevelType w:val="hybridMultilevel"/>
    <w:tmpl w:val="4616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E5F05"/>
    <w:multiLevelType w:val="hybridMultilevel"/>
    <w:tmpl w:val="6C4E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64"/>
    <w:rsid w:val="00013E5C"/>
    <w:rsid w:val="000449AC"/>
    <w:rsid w:val="00045298"/>
    <w:rsid w:val="00046639"/>
    <w:rsid w:val="000D34ED"/>
    <w:rsid w:val="00111F17"/>
    <w:rsid w:val="00137D6B"/>
    <w:rsid w:val="001C32AC"/>
    <w:rsid w:val="001F71DA"/>
    <w:rsid w:val="002329A8"/>
    <w:rsid w:val="00270364"/>
    <w:rsid w:val="002C3561"/>
    <w:rsid w:val="002F10B4"/>
    <w:rsid w:val="00313B48"/>
    <w:rsid w:val="00331524"/>
    <w:rsid w:val="00336B2E"/>
    <w:rsid w:val="003378EA"/>
    <w:rsid w:val="003B4017"/>
    <w:rsid w:val="003C61C3"/>
    <w:rsid w:val="00454DD8"/>
    <w:rsid w:val="00472EA8"/>
    <w:rsid w:val="005A3349"/>
    <w:rsid w:val="00745634"/>
    <w:rsid w:val="007A08CD"/>
    <w:rsid w:val="007C5610"/>
    <w:rsid w:val="0080129A"/>
    <w:rsid w:val="008252CF"/>
    <w:rsid w:val="00925C89"/>
    <w:rsid w:val="009B34E8"/>
    <w:rsid w:val="00B14D23"/>
    <w:rsid w:val="00B56A00"/>
    <w:rsid w:val="00B6776F"/>
    <w:rsid w:val="00B816C6"/>
    <w:rsid w:val="00C211A8"/>
    <w:rsid w:val="00C41B12"/>
    <w:rsid w:val="00CE1680"/>
    <w:rsid w:val="00D5439D"/>
    <w:rsid w:val="00DC2A44"/>
    <w:rsid w:val="00DF171E"/>
    <w:rsid w:val="00EF2333"/>
    <w:rsid w:val="00EF536D"/>
    <w:rsid w:val="00F17EEB"/>
    <w:rsid w:val="00FC1121"/>
    <w:rsid w:val="00FD5108"/>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cadd4"/>
      <o:colormenu v:ext="edit" fillcolor="none [1944]" strokecolor="none" shadowcolor="none"/>
    </o:shapedefaults>
    <o:shapelayout v:ext="edit">
      <o:idmap v:ext="edit" data="1"/>
    </o:shapelayout>
  </w:shapeDefaults>
  <w:decimalSymbol w:val="."/>
  <w:listSeparator w:val=","/>
  <w15:docId w15:val="{267F2F95-ED3A-42C3-B75D-D39B10AD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36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B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2C35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2C356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2C356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FF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EF"/>
    <w:rPr>
      <w:rFonts w:ascii="Tahoma" w:hAnsi="Tahoma" w:cs="Tahoma"/>
      <w:sz w:val="16"/>
      <w:szCs w:val="16"/>
    </w:rPr>
  </w:style>
  <w:style w:type="paragraph" w:styleId="Header">
    <w:name w:val="header"/>
    <w:basedOn w:val="Normal"/>
    <w:link w:val="HeaderChar"/>
    <w:uiPriority w:val="99"/>
    <w:semiHidden/>
    <w:unhideWhenUsed/>
    <w:rsid w:val="00825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2CF"/>
    <w:rPr>
      <w:sz w:val="22"/>
      <w:szCs w:val="22"/>
    </w:rPr>
  </w:style>
  <w:style w:type="paragraph" w:styleId="Footer">
    <w:name w:val="footer"/>
    <w:basedOn w:val="Normal"/>
    <w:link w:val="FooterChar"/>
    <w:uiPriority w:val="99"/>
    <w:semiHidden/>
    <w:unhideWhenUsed/>
    <w:rsid w:val="00825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2CF"/>
    <w:rPr>
      <w:sz w:val="22"/>
      <w:szCs w:val="22"/>
    </w:rPr>
  </w:style>
  <w:style w:type="paragraph" w:styleId="ListParagraph">
    <w:name w:val="List Paragraph"/>
    <w:basedOn w:val="Normal"/>
    <w:uiPriority w:val="34"/>
    <w:qFormat/>
    <w:rsid w:val="00F17EE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saceti</dc:creator>
  <cp:lastModifiedBy>Susan Aceti</cp:lastModifiedBy>
  <cp:revision>5</cp:revision>
  <cp:lastPrinted>2014-06-24T15:23:00Z</cp:lastPrinted>
  <dcterms:created xsi:type="dcterms:W3CDTF">2014-06-24T15:24:00Z</dcterms:created>
  <dcterms:modified xsi:type="dcterms:W3CDTF">2014-06-24T16:53:00Z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-1589188607</vt:i4>
  </property>
  <property fmtid="{D5CDD505-2E9C-101B-9397-08002B2CF9AE}" pid="3" name="_NewReviewCycle">
    <vt:lpwstr/>
  </property>
  <property fmtid="{D5CDD505-2E9C-101B-9397-08002B2CF9AE}" pid="4" name="_EmailSubject">
    <vt:lpwstr>Two versions</vt:lpwstr>
  </property>
  <property fmtid="{D5CDD505-2E9C-101B-9397-08002B2CF9AE}" pid="5" name="_AuthorEmail">
    <vt:lpwstr>ltitus@healthyhousingsolutions.com</vt:lpwstr>
  </property>
  <property fmtid="{D5CDD505-2E9C-101B-9397-08002B2CF9AE}" pid="6" name="_AuthorEmailDisplayName">
    <vt:lpwstr>Laura Titus</vt:lpwstr>
  </property>
  <property fmtid="{D5CDD505-2E9C-101B-9397-08002B2CF9AE}" pid="7" name="_PreviousAdHocReviewCycleID">
    <vt:i4>-2078474407</vt:i4>
  </property>
</Properties>
</file>